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154D3" w14:textId="384858C0" w:rsidR="00486A21" w:rsidRDefault="00486A21" w:rsidP="00855388">
      <w:pPr>
        <w:jc w:val="left"/>
        <w:rPr>
          <w:rFonts w:ascii="Arial" w:hAnsi="Arial" w:cs="Arial"/>
        </w:rPr>
      </w:pPr>
      <w:r w:rsidRPr="003572C4">
        <w:rPr>
          <w:rFonts w:ascii="Arial" w:hAnsi="Arial" w:cs="Arial" w:hint="eastAsia"/>
          <w:highlight w:val="yellow"/>
        </w:rPr>
        <w:t>尚未把</w:t>
      </w:r>
      <w:r w:rsidRPr="003572C4">
        <w:rPr>
          <w:rFonts w:ascii="Arial" w:hAnsi="Arial" w:cs="Arial" w:hint="eastAsia"/>
          <w:highlight w:val="yellow"/>
        </w:rPr>
        <w:t>ODEs</w:t>
      </w:r>
      <w:r w:rsidRPr="003572C4">
        <w:rPr>
          <w:rFonts w:ascii="Arial" w:hAnsi="Arial" w:cs="Arial" w:hint="eastAsia"/>
          <w:highlight w:val="yellow"/>
        </w:rPr>
        <w:t>部分整理进来。缺少</w:t>
      </w:r>
      <w:r w:rsidR="00311525" w:rsidRPr="003572C4">
        <w:rPr>
          <w:rFonts w:ascii="Arial" w:hAnsi="Arial" w:cs="Arial" w:hint="eastAsia"/>
          <w:highlight w:val="yellow"/>
        </w:rPr>
        <w:t>物理模型的</w:t>
      </w:r>
      <w:r w:rsidR="00DD0995" w:rsidRPr="003572C4">
        <w:rPr>
          <w:rFonts w:ascii="Arial" w:hAnsi="Arial" w:cs="Arial" w:hint="eastAsia"/>
          <w:highlight w:val="yellow"/>
        </w:rPr>
        <w:t>一些</w:t>
      </w:r>
      <w:r w:rsidRPr="003572C4">
        <w:rPr>
          <w:rFonts w:ascii="Arial" w:hAnsi="Arial" w:cs="Arial" w:hint="eastAsia"/>
          <w:highlight w:val="yellow"/>
        </w:rPr>
        <w:t>结果。</w:t>
      </w:r>
    </w:p>
    <w:p w14:paraId="2FE6350B" w14:textId="77777777" w:rsidR="00486A21" w:rsidRDefault="00486A21" w:rsidP="00855388">
      <w:pPr>
        <w:jc w:val="left"/>
        <w:rPr>
          <w:rFonts w:ascii="Arial" w:hAnsi="Arial" w:cs="Arial"/>
        </w:rPr>
      </w:pPr>
    </w:p>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5D334E0C" w:rsidR="00B46391" w:rsidRDefault="00714F7B" w:rsidP="00B46391">
      <w:pPr>
        <w:keepNext/>
        <w:jc w:val="left"/>
      </w:pPr>
      <w:r>
        <w:rPr>
          <w:rFonts w:ascii="Arial" w:hAnsi="Arial" w:cs="Arial"/>
          <w:noProof/>
        </w:rPr>
        <w:drawing>
          <wp:inline distT="0" distB="0" distL="0" distR="0" wp14:anchorId="1C776204" wp14:editId="0DBB1578">
            <wp:extent cx="5262880" cy="3267075"/>
            <wp:effectExtent l="0" t="0" r="0" b="0"/>
            <wp:docPr id="11762505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3267075"/>
                    </a:xfrm>
                    <a:prstGeom prst="rect">
                      <a:avLst/>
                    </a:prstGeom>
                    <a:noFill/>
                    <a:ln>
                      <a:noFill/>
                    </a:ln>
                  </pic:spPr>
                </pic:pic>
              </a:graphicData>
            </a:graphic>
          </wp:inline>
        </w:drawing>
      </w:r>
    </w:p>
    <w:p w14:paraId="1F934354" w14:textId="5966CF8D" w:rsidR="00B46391" w:rsidRPr="00B46391" w:rsidRDefault="00B46391" w:rsidP="00B46391">
      <w:pPr>
        <w:pStyle w:val="af1"/>
        <w:jc w:val="left"/>
        <w:rPr>
          <w:rFonts w:ascii="Arial" w:hAnsi="Arial" w:cs="Arial"/>
        </w:rPr>
      </w:pPr>
      <w:r>
        <w:t xml:space="preserve">Figure </w:t>
      </w:r>
      <w:fldSimple w:instr=" SEQ Figure \* ARABIC ">
        <w:r w:rsidR="00F75A24">
          <w:rPr>
            <w:noProof/>
          </w:rPr>
          <w:t>1</w:t>
        </w:r>
      </w:fldSimple>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Pr>
          <w:i/>
          <w:iCs/>
        </w:rPr>
        <w:t>E. coli Bl21Cb</w:t>
      </w:r>
      <w:r>
        <w:t xml:space="preserve"> </w:t>
      </w:r>
      <w:r>
        <w:rPr>
          <w:rFonts w:hint="eastAsia"/>
        </w:rPr>
        <w:t>i</w:t>
      </w:r>
      <w:r>
        <w:t xml:space="preserve">s </w:t>
      </w:r>
      <w:r>
        <w:rPr>
          <w:rFonts w:hint="eastAsia"/>
        </w:rPr>
        <w:t>responsible</w:t>
      </w:r>
      <w:r>
        <w:t xml:space="preserve"> for the degradation of formaldehyde, </w:t>
      </w:r>
      <w:r w:rsidRPr="00B46391">
        <w:rPr>
          <w:i/>
          <w:iCs/>
        </w:rPr>
        <w:t>Synechococcus</w:t>
      </w:r>
      <w:r>
        <w:rPr>
          <w:i/>
          <w:iCs/>
        </w:rPr>
        <w:t xml:space="preserve"> PCC 7942</w:t>
      </w:r>
      <w:r>
        <w:t xml:space="preserve"> for sucrose production</w:t>
      </w:r>
      <w:r w:rsidR="008A053C">
        <w:t>,</w:t>
      </w:r>
      <w:r>
        <w:t xml:space="preserve"> and E. coli Bl21s for </w:t>
      </w:r>
      <w:r>
        <w:rPr>
          <w:rFonts w:hint="eastAsia"/>
        </w:rPr>
        <w:t>extracellular</w:t>
      </w:r>
      <w:r>
        <w:t xml:space="preserve"> sucrose hydrolysis for both </w:t>
      </w:r>
      <w:r>
        <w:rPr>
          <w:i/>
          <w:iCs/>
        </w:rPr>
        <w:t xml:space="preserve">E. coli </w:t>
      </w:r>
      <w:r>
        <w:t xml:space="preserve">to </w:t>
      </w:r>
      <w:r w:rsidR="00DE0826">
        <w:t>digest.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p>
    <w:p w14:paraId="5749B7C6" w14:textId="77777777" w:rsidR="00B46391" w:rsidRPr="00B46391" w:rsidRDefault="00B46391" w:rsidP="00855388">
      <w:pPr>
        <w:jc w:val="left"/>
        <w:rPr>
          <w:rFonts w:ascii="Arial" w:hAnsi="Arial" w:cs="Arial"/>
        </w:rPr>
      </w:pPr>
    </w:p>
    <w:p w14:paraId="47545022" w14:textId="08919CF4" w:rsidR="00B46391" w:rsidRP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7502795"/>
      <w:r w:rsidRPr="00395C71">
        <w:rPr>
          <w:rFonts w:ascii="Arial" w:hAnsi="Arial" w:cs="Arial"/>
          <w:i/>
          <w:iCs/>
        </w:rPr>
        <w:t xml:space="preserve">Synechococcus </w:t>
      </w:r>
      <w:r>
        <w:rPr>
          <w:rFonts w:ascii="Arial" w:hAnsi="Arial" w:cs="Arial"/>
          <w:i/>
          <w:iCs/>
        </w:rPr>
        <w:t>PCC</w:t>
      </w:r>
      <w:bookmarkEnd w:id="0"/>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nalysis, an approach for studying a genome-scale 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xml:space="preserve">, we can track the changes in metabolite concentrations in the presence of complex reactions within microbial bodies, </w:t>
      </w:r>
      <w:r w:rsidR="00395C71" w:rsidRPr="00395C71">
        <w:rPr>
          <w:rFonts w:ascii="Arial" w:hAnsi="Arial" w:cs="Arial"/>
        </w:rPr>
        <w:lastRenderedPageBreak/>
        <w:t>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A1BA5D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Specific rates of growth</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99495A"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99495A"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99495A"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lastRenderedPageBreak/>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240C066A" w:rsidR="00270925" w:rsidRDefault="00270925" w:rsidP="00270925">
      <w:pPr>
        <w:pStyle w:val="af1"/>
        <w:jc w:val="center"/>
      </w:pPr>
      <w:r>
        <w:t xml:space="preserve">Figure </w:t>
      </w:r>
      <w:fldSimple w:instr=" SEQ Figure \* ARABIC ">
        <w:r w:rsidR="00F75A24">
          <w:rPr>
            <w:noProof/>
          </w:rPr>
          <w:t>2</w:t>
        </w:r>
      </w:fldSimple>
      <w:r>
        <w:t xml:space="preserve"> </w:t>
      </w:r>
      <w:r w:rsidR="0065616D">
        <w:t xml:space="preserve">Fitted curve of </w:t>
      </w:r>
      <w:proofErr w:type="gramStart"/>
      <w:r w:rsidR="0065616D">
        <w:t>E.coli’s</w:t>
      </w:r>
      <w:proofErr w:type="gramEnd"/>
      <w:r w:rsidR="0065616D">
        <w:t xml:space="preserve"> dry weight agains</w:t>
      </w:r>
      <w:r w:rsidR="001A77B2">
        <w:t>t glucose uptake.</w:t>
      </w:r>
    </w:p>
    <w:p w14:paraId="0122ECC1" w14:textId="5115A75A" w:rsidR="0005567F" w:rsidRDefault="00F71140" w:rsidP="0005567F">
      <w:pPr>
        <w:keepNext/>
        <w:jc w:val="center"/>
      </w:pPr>
      <w:r>
        <w:rPr>
          <w:noProof/>
        </w:rPr>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5E8F3A9E" w:rsidR="00F03321" w:rsidRDefault="0005567F" w:rsidP="0005567F">
      <w:pPr>
        <w:pStyle w:val="af1"/>
        <w:jc w:val="center"/>
        <w:rPr>
          <w:rFonts w:ascii="Arial" w:hAnsi="Arial" w:cs="Arial"/>
        </w:rPr>
      </w:pPr>
      <w:r>
        <w:t xml:space="preserve">Figure </w:t>
      </w:r>
      <w:fldSimple w:instr=" SEQ Figure \* ARABIC ">
        <w:r w:rsidR="00F75A24">
          <w:rPr>
            <w:noProof/>
          </w:rPr>
          <w:t>3</w:t>
        </w:r>
      </w:fldSimple>
      <w:r w:rsidR="001A77B2">
        <w:rPr>
          <w:noProof/>
        </w:rPr>
        <w:t xml:space="preserve"> </w:t>
      </w:r>
      <w:r w:rsidR="001A77B2">
        <w:t xml:space="preserve">Fitted curve of </w:t>
      </w:r>
      <w:proofErr w:type="gramStart"/>
      <w:r w:rsidR="001A77B2">
        <w:t>E.coli’s</w:t>
      </w:r>
      <w:proofErr w:type="gramEnd"/>
      <w:r w:rsidR="001A77B2">
        <w:t xml:space="preserve"> dry weight against NH4+ uptake.</w:t>
      </w:r>
      <w:r w:rsidR="003844DA">
        <w:t xml:space="preserve"> The total volume is set to sufficiently high.</w:t>
      </w:r>
    </w:p>
    <w:p w14:paraId="1B001ED4" w14:textId="5C314B8E"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the blue line for </w:t>
      </w:r>
      <w:r w:rsidR="008A053C">
        <w:rPr>
          <w:rFonts w:ascii="Arial" w:hAnsi="Arial" w:cs="Arial"/>
        </w:rPr>
        <w:t xml:space="preserve">the </w:t>
      </w:r>
      <w:r>
        <w:rPr>
          <w:rFonts w:ascii="Arial" w:hAnsi="Arial" w:cs="Arial"/>
        </w:rPr>
        <w:t xml:space="preserve">simulation result is covered by </w:t>
      </w:r>
      <w:r w:rsidR="008A053C">
        <w:rPr>
          <w:rFonts w:ascii="Arial" w:hAnsi="Arial" w:cs="Arial"/>
        </w:rPr>
        <w:t xml:space="preserve">the </w:t>
      </w:r>
      <w:r>
        <w:rPr>
          <w:rFonts w:ascii="Arial" w:hAnsi="Arial" w:cs="Arial"/>
        </w:rPr>
        <w:t>fit line.</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01CDFA8F"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including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177C0B03" w:rsidR="004D1112" w:rsidRDefault="004D1112" w:rsidP="00855388">
      <w:pPr>
        <w:jc w:val="left"/>
        <w:rPr>
          <w:rFonts w:ascii="Arial" w:hAnsi="Arial" w:cs="Arial"/>
        </w:rPr>
      </w:pPr>
      <w:r>
        <w:rPr>
          <w:noProof/>
        </w:rPr>
        <w:drawing>
          <wp:inline distT="0" distB="0" distL="0" distR="0" wp14:anchorId="089D9350" wp14:editId="54FEF6BD">
            <wp:extent cx="2724150" cy="2042292"/>
            <wp:effectExtent l="0" t="0" r="0" b="0"/>
            <wp:docPr id="7789777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8427" cy="2045498"/>
                    </a:xfrm>
                    <a:prstGeom prst="rect">
                      <a:avLst/>
                    </a:prstGeom>
                    <a:noFill/>
                    <a:ln>
                      <a:noFill/>
                    </a:ln>
                  </pic:spPr>
                </pic:pic>
              </a:graphicData>
            </a:graphic>
          </wp:inline>
        </w:drawing>
      </w:r>
      <w:r>
        <w:rPr>
          <w:noProof/>
        </w:rPr>
        <w:drawing>
          <wp:inline distT="0" distB="0" distL="0" distR="0" wp14:anchorId="707975AF" wp14:editId="5F70579D">
            <wp:extent cx="2395747" cy="2076450"/>
            <wp:effectExtent l="0" t="0" r="0" b="0"/>
            <wp:docPr id="182395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0561" name=""/>
                    <pic:cNvPicPr/>
                  </pic:nvPicPr>
                  <pic:blipFill>
                    <a:blip r:embed="rId13"/>
                    <a:stretch>
                      <a:fillRect/>
                    </a:stretch>
                  </pic:blipFill>
                  <pic:spPr>
                    <a:xfrm>
                      <a:off x="0" y="0"/>
                      <a:ext cx="2400186" cy="2080297"/>
                    </a:xfrm>
                    <a:prstGeom prst="rect">
                      <a:avLst/>
                    </a:prstGeom>
                  </pic:spPr>
                </pic:pic>
              </a:graphicData>
            </a:graphic>
          </wp:inline>
        </w:drawing>
      </w:r>
    </w:p>
    <w:p w14:paraId="3EBDA320" w14:textId="77777777" w:rsidR="00803285" w:rsidRDefault="00803285" w:rsidP="00855388">
      <w:pPr>
        <w:jc w:val="left"/>
        <w:rPr>
          <w:rFonts w:ascii="Arial" w:hAnsi="Arial" w:cs="Arial"/>
        </w:rPr>
      </w:pPr>
    </w:p>
    <w:p w14:paraId="15C24E0C" w14:textId="58D4C769"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bl21 </w:t>
      </w:r>
      <w:r w:rsidR="003C525D">
        <w:rPr>
          <w:rFonts w:ascii="Arial" w:hAnsi="Arial" w:cs="Arial"/>
        </w:rPr>
        <w:t>matches</w:t>
      </w:r>
      <w:r>
        <w:rPr>
          <w:rFonts w:ascii="Arial" w:hAnsi="Arial" w:cs="Arial"/>
        </w:rPr>
        <w:t xml:space="preserve"> the simulation well.</w:t>
      </w:r>
    </w:p>
    <w:p w14:paraId="3C2674CC" w14:textId="77777777" w:rsidR="00714F7B" w:rsidRDefault="00714F7B" w:rsidP="00855388">
      <w:pPr>
        <w:jc w:val="left"/>
        <w:rPr>
          <w:rFonts w:ascii="Arial" w:hAnsi="Arial" w:cs="Arial"/>
        </w:rPr>
      </w:pPr>
    </w:p>
    <w:p w14:paraId="4BB6F1F0" w14:textId="1D0D83FD" w:rsidR="00947DC7" w:rsidRPr="002F793D" w:rsidRDefault="001E338C" w:rsidP="00855388">
      <w:pPr>
        <w:jc w:val="left"/>
        <w:rPr>
          <w:rFonts w:ascii="Arial" w:hAnsi="Arial" w:cs="Arial"/>
          <w:strike/>
        </w:rPr>
      </w:pPr>
      <w:r w:rsidRPr="00947DC7">
        <w:rPr>
          <w:rFonts w:ascii="Arial" w:hAnsi="Arial" w:cs="Arial" w:hint="eastAsia"/>
          <w:strike/>
        </w:rPr>
        <w:t>A</w:t>
      </w:r>
      <w:r w:rsidRPr="00947DC7">
        <w:rPr>
          <w:rFonts w:ascii="Arial" w:hAnsi="Arial" w:cs="Arial"/>
          <w:strike/>
        </w:rPr>
        <w:t xml:space="preserve">fter the verification, we were curious about how nutrient uptake </w:t>
      </w:r>
      <w:r w:rsidR="002F793D">
        <w:rPr>
          <w:rFonts w:ascii="Arial" w:hAnsi="Arial" w:cs="Arial"/>
          <w:strike/>
        </w:rPr>
        <w:t>affects</w:t>
      </w:r>
      <w:r w:rsidRPr="00947DC7">
        <w:rPr>
          <w:rFonts w:ascii="Arial" w:hAnsi="Arial" w:cs="Arial"/>
          <w:strike/>
        </w:rPr>
        <w:t xml:space="preserve"> formaldehyde degradation efficiency, so we did a robustness analysis between glucose uptake and formaldehyde uptake speed.</w:t>
      </w:r>
    </w:p>
    <w:p w14:paraId="0D3D5A43" w14:textId="77777777" w:rsidR="00947DC7" w:rsidRDefault="00947DC7" w:rsidP="00855388">
      <w:pPr>
        <w:jc w:val="left"/>
        <w:rPr>
          <w:rFonts w:ascii="Arial" w:hAnsi="Arial" w:cs="Arial"/>
        </w:rPr>
      </w:pPr>
    </w:p>
    <w:p w14:paraId="1FDCC7C3" w14:textId="46E74529" w:rsidR="00947DC7"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279FAD17" w14:textId="77777777" w:rsidR="00947DC7" w:rsidRDefault="00947DC7" w:rsidP="00947DC7">
      <w:pPr>
        <w:jc w:val="left"/>
        <w:rPr>
          <w:rFonts w:ascii="Arial" w:hAnsi="Arial" w:cs="Arial"/>
        </w:rPr>
      </w:pP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lastRenderedPageBreak/>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5CF57DA8" w:rsidR="002F793D" w:rsidRPr="00F75A24" w:rsidRDefault="00F75A24" w:rsidP="00F75A24">
      <w:pPr>
        <w:pStyle w:val="af1"/>
        <w:jc w:val="left"/>
        <w:rPr>
          <w:rFonts w:ascii="Arial" w:hAnsi="Arial" w:cs="Arial"/>
        </w:rPr>
      </w:pPr>
      <w:r>
        <w:t xml:space="preserve">Figure </w:t>
      </w:r>
      <w:fldSimple w:instr=" SEQ Figure \* ARABIC ">
        <w:r>
          <w:rPr>
            <w:noProof/>
          </w:rPr>
          <w:t>4</w:t>
        </w:r>
      </w:fldSimple>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maximize its growth rate.</w:t>
      </w:r>
    </w:p>
    <w:p w14:paraId="6C045004" w14:textId="77777777" w:rsidR="00413648" w:rsidRDefault="00413648" w:rsidP="00855388">
      <w:pPr>
        <w:jc w:val="left"/>
        <w:rPr>
          <w:rFonts w:ascii="Arial" w:hAnsi="Arial" w:cs="Arial"/>
        </w:rPr>
      </w:pP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5"/>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99495A">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99495A" w:rsidP="0099495A">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99495A">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99495A"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99495A"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99495A" w:rsidP="0099495A">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99495A">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99495A" w:rsidP="0099495A">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1E2C32AD" w:rsidR="00F7706A" w:rsidRPr="00F7706A" w:rsidRDefault="00F7706A" w:rsidP="00F7706A">
            <w:pPr>
              <w:jc w:val="center"/>
              <w:rPr>
                <w:rFonts w:ascii="Arial" w:hAnsi="Arial" w:cs="Arial"/>
              </w:rPr>
            </w:pPr>
            <w:r w:rsidRPr="00F7706A">
              <w:rPr>
                <w:rFonts w:ascii="Arial" w:hAnsi="Arial" w:cs="Arial"/>
              </w:rPr>
              <w:t>180.</w:t>
            </w:r>
            <w:r>
              <w:rPr>
                <w:rFonts w:ascii="Arial" w:hAnsi="Arial" w:cs="Arial"/>
              </w:rPr>
              <w:t>16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53765ED" w14:textId="3173C497" w:rsidR="00F7706A" w:rsidRPr="00F7706A" w:rsidRDefault="0099495A" w:rsidP="00855388">
      <w:pPr>
        <w:jc w:val="left"/>
        <w:rPr>
          <w:rFonts w:ascii="Arial" w:hAnsi="Arial" w:cs="Arial"/>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6F262E1" w14:textId="77777777" w:rsidR="00F7706A" w:rsidRDefault="00F7706A" w:rsidP="00855388">
      <w:pPr>
        <w:jc w:val="left"/>
        <w:rPr>
          <w:rFonts w:ascii="Arial" w:hAnsi="Arial" w:cs="Arial"/>
        </w:rPr>
      </w:pPr>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7D4CC8E3" w:rsidR="000D1D96" w:rsidRPr="00413648" w:rsidRDefault="000D1D96" w:rsidP="000D1D96">
      <w:pPr>
        <w:pStyle w:val="af1"/>
        <w:jc w:val="left"/>
        <w:rPr>
          <w:rFonts w:ascii="Arial" w:hAnsi="Arial" w:cs="Arial"/>
        </w:rPr>
      </w:pPr>
      <w:r>
        <w:t xml:space="preserve">Figure </w:t>
      </w:r>
      <w:fldSimple w:instr=" SEQ Figure \* ARABIC ">
        <w:r w:rsidR="00F75A24">
          <w:rPr>
            <w:noProof/>
          </w:rPr>
          <w:t>5</w:t>
        </w:r>
      </w:fldSimple>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t xml:space="preserve"> </w:t>
      </w:r>
      <w:r w:rsidR="00F7706A" w:rsidRPr="00F7706A">
        <w:rPr>
          <w:i/>
        </w:rPr>
        <w:t>/</w:t>
      </w:r>
      <w:proofErr w:type="spellStart"/>
      <w:r w:rsidR="00F7706A" w:rsidRPr="00F7706A">
        <w:rPr>
          <w:i/>
        </w:rPr>
        <w:t>cscB</w:t>
      </w:r>
      <w:proofErr w:type="spellEnd"/>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576DBCEF" w:rsidR="00F7706A" w:rsidRPr="00947DC7" w:rsidRDefault="00F7706A" w:rsidP="00855388">
      <w:pPr>
        <w:jc w:val="left"/>
        <w:rPr>
          <w:rFonts w:ascii="Arial" w:hAnsi="Arial" w:cs="Arial"/>
        </w:rPr>
      </w:pPr>
      <w:r>
        <w:rPr>
          <w:rFonts w:ascii="Arial" w:hAnsi="Arial" w:cs="Arial" w:hint="eastAsia"/>
        </w:rPr>
        <w:t>T</w:t>
      </w:r>
      <w:r>
        <w:rPr>
          <w:rFonts w:ascii="Arial" w:hAnsi="Arial" w:cs="Arial"/>
        </w:rPr>
        <w:t>his provide</w:t>
      </w:r>
      <w:r w:rsidR="0008303F">
        <w:rPr>
          <w:rFonts w:ascii="Arial" w:hAnsi="Arial" w:cs="Arial"/>
        </w:rPr>
        <w:t>d</w:t>
      </w:r>
      <w:r>
        <w:rPr>
          <w:rFonts w:ascii="Arial" w:hAnsi="Arial" w:cs="Arial"/>
        </w:rPr>
        <w:t xml:space="preserve"> a </w:t>
      </w:r>
      <w:r w:rsidR="007367C6">
        <w:rPr>
          <w:rFonts w:ascii="Arial" w:hAnsi="Arial" w:cs="Arial"/>
        </w:rPr>
        <w:t>starting</w:t>
      </w:r>
      <w:r>
        <w:rPr>
          <w:rFonts w:ascii="Arial" w:hAnsi="Arial" w:cs="Arial"/>
        </w:rPr>
        <w:t xml:space="preserve"> point for futural coculture </w:t>
      </w:r>
      <w:r w:rsidR="007367C6">
        <w:rPr>
          <w:rFonts w:ascii="Arial" w:hAnsi="Arial" w:cs="Arial"/>
        </w:rPr>
        <w:t>experiments</w:t>
      </w:r>
      <w:r>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lastRenderedPageBreak/>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D9D839"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 and we will not simulate multiple beads together for now.</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rPr>
      </w:pPr>
      <w:r>
        <w:rPr>
          <w:rFonts w:ascii="Arial" w:hAnsi="Arial" w:cs="Arial"/>
        </w:rPr>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36158C15" w:rsidR="000E1A9A" w:rsidRDefault="00F75A24" w:rsidP="00F75A24">
      <w:pPr>
        <w:pStyle w:val="af1"/>
        <w:jc w:val="center"/>
        <w:rPr>
          <w:rFonts w:ascii="Arial" w:hAnsi="Arial" w:cs="Arial"/>
        </w:rPr>
      </w:pPr>
      <w:r>
        <w:t xml:space="preserve">Figure </w:t>
      </w:r>
      <w:fldSimple w:instr=" SEQ Figure \* ARABIC ">
        <w:r>
          <w:rPr>
            <w:noProof/>
          </w:rPr>
          <w:t>6</w:t>
        </w:r>
      </w:fldSimple>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99495A"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gridCol w:w="1361"/>
        <w:gridCol w:w="3118"/>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99495A"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1CDEF415" w14:textId="77777777" w:rsidR="000E1A9A" w:rsidRPr="000E1A9A" w:rsidRDefault="000E1A9A" w:rsidP="000E1A9A">
      <w:pPr>
        <w:jc w:val="left"/>
        <w:rPr>
          <w:rFonts w:ascii="Arial" w:hAnsi="Arial" w:cs="Arial"/>
        </w:rPr>
      </w:pPr>
    </w:p>
    <w:p w14:paraId="40E61A26" w14:textId="678EA5B3" w:rsidR="000E1A9A" w:rsidRDefault="000E1A9A" w:rsidP="00E86BDB">
      <w:pPr>
        <w:pStyle w:val="a6"/>
        <w:numPr>
          <w:ilvl w:val="2"/>
          <w:numId w:val="4"/>
        </w:numPr>
        <w:ind w:firstLineChars="0"/>
        <w:jc w:val="left"/>
        <w:rPr>
          <w:rFonts w:ascii="Arial" w:hAnsi="Arial" w:cs="Arial"/>
        </w:rPr>
      </w:pPr>
      <w:r w:rsidRPr="003F7CE9">
        <w:rPr>
          <w:rFonts w:ascii="Arial" w:hAnsi="Arial" w:cs="Arial"/>
        </w:rPr>
        <w:t>Formaldehyde degradation</w:t>
      </w:r>
    </w:p>
    <w:p w14:paraId="66F07952" w14:textId="5612027C" w:rsidR="006B491D" w:rsidRDefault="006B491D" w:rsidP="0031421E">
      <w:pPr>
        <w:jc w:val="left"/>
        <w:rPr>
          <w:rFonts w:ascii="Arial" w:hAnsi="Arial" w:cs="Arial"/>
        </w:rPr>
      </w:pPr>
      <w:r>
        <w:rPr>
          <w:rFonts w:ascii="Arial" w:hAnsi="Arial" w:cs="Arial" w:hint="eastAsia"/>
        </w:rPr>
        <w:t>T</w:t>
      </w:r>
      <w:r>
        <w:rPr>
          <w:rFonts w:ascii="Arial" w:hAnsi="Arial" w:cs="Arial"/>
        </w:rPr>
        <w:t>he reason w</w:t>
      </w:r>
      <w:r w:rsidR="00BC2038">
        <w:rPr>
          <w:rFonts w:ascii="Arial" w:hAnsi="Arial" w:cs="Arial"/>
        </w:rPr>
        <w:t xml:space="preserve">e </w:t>
      </w:r>
      <w:r w:rsidR="0031421E">
        <w:rPr>
          <w:rFonts w:ascii="Arial" w:hAnsi="Arial" w:cs="Arial"/>
        </w:rPr>
        <w:t xml:space="preserve">choose ODEs to build into the FEA is that this is the main part of the </w:t>
      </w:r>
      <w:r w:rsidR="0031421E">
        <w:rPr>
          <w:rFonts w:ascii="Arial" w:hAnsi="Arial" w:cs="Arial"/>
        </w:rPr>
        <w:lastRenderedPageBreak/>
        <w:t>whole system.</w:t>
      </w:r>
    </w:p>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77777777"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 photosynthesis with the Michaelis-Menten equation and obtain the parameters through curve fitting with data from the wet lab.</w:t>
      </w:r>
    </w:p>
    <w:p w14:paraId="488D3493" w14:textId="77777777" w:rsidR="006B491D" w:rsidRPr="00B46391" w:rsidRDefault="006B491D" w:rsidP="00C64660">
      <w:pPr>
        <w:jc w:val="left"/>
        <w:rPr>
          <w:rFonts w:ascii="Arial" w:hAnsi="Arial" w:cs="Arial"/>
        </w:rPr>
      </w:pP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2D96BA6B" w14:textId="1079D525" w:rsidR="006B491D" w:rsidRDefault="0099495A" w:rsidP="00A139B8">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99495A"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w:t>
      </w:r>
      <w:proofErr w:type="gramStart"/>
      <w:r>
        <w:rPr>
          <w:rFonts w:ascii="Arial" w:hAnsi="Arial" w:cs="Arial"/>
        </w:rPr>
        <w:t>rewrote</w:t>
      </w:r>
      <w:proofErr w:type="gramEnd"/>
      <w:r>
        <w:rPr>
          <w:rFonts w:ascii="Arial" w:hAnsi="Arial" w:cs="Arial"/>
        </w:rPr>
        <w:t xml:space="preserv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99495A"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proofErr w:type="gramStart"/>
            <w:r w:rsidRPr="0053750C">
              <w:rPr>
                <w:rFonts w:ascii="Arial" w:hAnsi="Arial" w:cs="Arial"/>
                <w:b/>
                <w:bCs/>
              </w:rPr>
              <w:t>Value(</w:t>
            </w:r>
            <w:proofErr w:type="gramEnd"/>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99495A"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99495A"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99495A"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99495A"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99495A"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formaldehyde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04A52C04" w14:textId="25D03A5E" w:rsidR="00C55545" w:rsidRDefault="00C55545" w:rsidP="00855388">
      <w:pPr>
        <w:jc w:val="left"/>
        <w:rPr>
          <w:rFonts w:ascii="Arial" w:hAnsi="Arial" w:cs="Arial"/>
        </w:rPr>
      </w:pPr>
    </w:p>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we could set up a simulation with the finite element 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3F3DA0A7" w14:textId="48F7BF23" w:rsidR="00656278" w:rsidRDefault="00656278" w:rsidP="00656278">
      <w:pPr>
        <w:pStyle w:val="a6"/>
        <w:numPr>
          <w:ilvl w:val="2"/>
          <w:numId w:val="4"/>
        </w:numPr>
        <w:ind w:firstLineChars="0"/>
        <w:jc w:val="left"/>
        <w:rPr>
          <w:rFonts w:ascii="Arial" w:hAnsi="Arial" w:cs="Arial"/>
        </w:rPr>
      </w:pPr>
      <w:r>
        <w:rPr>
          <w:rFonts w:ascii="Arial" w:hAnsi="Arial" w:cs="Arial"/>
        </w:rPr>
        <w:t>Finite Element Method (FEM)</w:t>
      </w:r>
    </w:p>
    <w:p w14:paraId="0EF2A0CC" w14:textId="77777777" w:rsidR="005F7ABC" w:rsidRDefault="005F7ABC" w:rsidP="00855388">
      <w:pPr>
        <w:jc w:val="left"/>
        <w:rPr>
          <w:rFonts w:ascii="Arial" w:hAnsi="Arial" w:cs="Arial"/>
        </w:rPr>
      </w:pP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to learn more details, please refer to some 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0C6899E1" w:rsidR="00CC26DF" w:rsidRDefault="00CC26DF" w:rsidP="00CC26DF">
      <w:pPr>
        <w:pStyle w:val="af1"/>
        <w:jc w:val="left"/>
        <w:rPr>
          <w:rFonts w:ascii="Arial" w:hAnsi="Arial" w:cs="Arial"/>
        </w:rPr>
      </w:pPr>
      <w:r>
        <w:t xml:space="preserve">Figure </w:t>
      </w:r>
      <w:fldSimple w:instr=" SEQ Figure \* ARABIC ">
        <w:r w:rsidR="00F75A24">
          <w:rPr>
            <w:noProof/>
          </w:rPr>
          <w:t>7</w:t>
        </w:r>
      </w:fldSimple>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0F4820AF" w14:textId="77777777" w:rsidR="00AD4B9A" w:rsidRDefault="00AD4B9A" w:rsidP="00AD4B9A">
      <w:pPr>
        <w:jc w:val="left"/>
        <w:rPr>
          <w:rFonts w:ascii="Arial" w:hAnsi="Arial" w:cs="Arial"/>
        </w:rPr>
      </w:pPr>
    </w:p>
    <w:p w14:paraId="234B09C4" w14:textId="19B74D27" w:rsidR="00695184" w:rsidRDefault="00695184" w:rsidP="00AD4B9A">
      <w:pPr>
        <w:jc w:val="left"/>
        <w:rPr>
          <w:rFonts w:ascii="Arial" w:hAnsi="Arial" w:cs="Arial"/>
        </w:rPr>
      </w:pPr>
      <w:r>
        <w:rPr>
          <w:rFonts w:ascii="Arial" w:hAnsi="Arial" w:cs="Arial" w:hint="eastAsia"/>
        </w:rPr>
        <w:t>A</w:t>
      </w:r>
      <w:r>
        <w:rPr>
          <w:rFonts w:ascii="Arial" w:hAnsi="Arial" w:cs="Arial"/>
        </w:rPr>
        <w:t xml:space="preserve">ll </w:t>
      </w:r>
      <w:r w:rsidR="0065616D">
        <w:rPr>
          <w:rFonts w:ascii="Arial" w:hAnsi="Arial" w:cs="Arial"/>
        </w:rPr>
        <w:t>plots</w:t>
      </w:r>
      <w:r>
        <w:rPr>
          <w:rFonts w:ascii="Arial" w:hAnsi="Arial" w:cs="Arial"/>
        </w:rPr>
        <w:t xml:space="preserve"> </w:t>
      </w:r>
      <w:r w:rsidR="0065616D">
        <w:rPr>
          <w:rFonts w:ascii="Arial" w:hAnsi="Arial" w:cs="Arial"/>
        </w:rPr>
        <w:t xml:space="preserve">are </w:t>
      </w:r>
      <w:r>
        <w:rPr>
          <w:rFonts w:ascii="Arial" w:hAnsi="Arial" w:cs="Arial"/>
        </w:rPr>
        <w:t>refreshed every 10ms simulation time.</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lastRenderedPageBreak/>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0352F2BC" w:rsidR="004D1112" w:rsidRDefault="00F75A24" w:rsidP="00F75A24">
      <w:pPr>
        <w:pStyle w:val="af1"/>
        <w:jc w:val="left"/>
        <w:rPr>
          <w:rFonts w:ascii="Arial" w:hAnsi="Arial" w:cs="Arial"/>
        </w:rPr>
      </w:pPr>
      <w:r>
        <w:t xml:space="preserve">Figure </w:t>
      </w:r>
      <w:fldSimple w:instr=" SEQ Figure \* ARABIC ">
        <w:r>
          <w:rPr>
            <w:noProof/>
          </w:rPr>
          <w:t>8</w:t>
        </w:r>
      </w:fldSimple>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323A99BA" w:rsidR="007E3132" w:rsidRPr="001B5B46" w:rsidRDefault="00F75A24" w:rsidP="00F75A24">
      <w:pPr>
        <w:pStyle w:val="af1"/>
        <w:jc w:val="left"/>
        <w:rPr>
          <w:rFonts w:ascii="Arial" w:hAnsi="Arial" w:cs="Arial"/>
        </w:rPr>
      </w:pPr>
      <w:r>
        <w:t xml:space="preserve">Figure </w:t>
      </w:r>
      <w:fldSimple w:instr=" SEQ Figure \* ARABIC ">
        <w:r>
          <w:rPr>
            <w:noProof/>
          </w:rPr>
          <w:t>9</w:t>
        </w:r>
      </w:fldSimple>
    </w:p>
    <w:p w14:paraId="767538D2" w14:textId="77777777" w:rsidR="006F3A7B" w:rsidRDefault="006F3A7B" w:rsidP="006F3A7B">
      <w:pPr>
        <w:jc w:val="left"/>
        <w:rPr>
          <w:rFonts w:ascii="Arial" w:hAnsi="Arial" w:cs="Arial"/>
        </w:rPr>
      </w:pPr>
    </w:p>
    <w:p w14:paraId="113A6637" w14:textId="5AAC1565" w:rsidR="0065616D" w:rsidRDefault="0065616D" w:rsidP="006F3A7B">
      <w:pPr>
        <w:jc w:val="left"/>
        <w:rPr>
          <w:rFonts w:ascii="Arial" w:hAnsi="Arial" w:cs="Arial"/>
        </w:rPr>
      </w:pPr>
      <w:r>
        <w:rPr>
          <w:rFonts w:ascii="Arial" w:hAnsi="Arial" w:cs="Arial" w:hint="eastAsia"/>
        </w:rPr>
        <w:t>T</w:t>
      </w:r>
      <w:r>
        <w:rPr>
          <w:rFonts w:ascii="Arial" w:hAnsi="Arial" w:cs="Arial"/>
        </w:rPr>
        <w:t>he result showed that at 300ms, the concentration at the center is lower than when not refreshed</w:t>
      </w:r>
      <w:r w:rsidR="00221BD6">
        <w:rPr>
          <w:rFonts w:ascii="Arial" w:hAnsi="Arial" w:cs="Arial"/>
        </w:rPr>
        <w:t>, which supports our previous thought and motivates the installation of a pump in our hardware.</w:t>
      </w:r>
    </w:p>
    <w:p w14:paraId="4D17EC9F" w14:textId="77777777" w:rsidR="0065616D" w:rsidRPr="0065616D" w:rsidRDefault="0065616D" w:rsidP="006F3A7B">
      <w:pPr>
        <w:jc w:val="left"/>
        <w:rPr>
          <w:rFonts w:ascii="Arial" w:hAnsi="Arial" w:cs="Arial"/>
        </w:rPr>
      </w:pPr>
    </w:p>
    <w:p w14:paraId="7344F073" w14:textId="7110F9CD" w:rsidR="00855388" w:rsidRPr="00613502"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253B5AA4" w14:textId="77777777" w:rsidR="00613502" w:rsidRDefault="00613502" w:rsidP="00613502">
      <w:pPr>
        <w:jc w:val="left"/>
        <w:rPr>
          <w:rFonts w:ascii="Arial" w:hAnsi="Arial" w:cs="Arial"/>
        </w:rPr>
      </w:pPr>
    </w:p>
    <w:p w14:paraId="6762A462" w14:textId="0091B156"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5F0BA0" w:rsidRPr="005F0BA0">
        <w:rPr>
          <w:rFonts w:ascii="Arial" w:hAnsi="Arial" w:cs="Arial"/>
        </w:rPr>
        <w:t xml:space="preserve">sucroase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p>
    <w:p w14:paraId="12A48C00" w14:textId="77777777" w:rsidR="003B63D5" w:rsidRDefault="003B63D5" w:rsidP="003F7CE9">
      <w:pPr>
        <w:jc w:val="left"/>
        <w:rPr>
          <w:rFonts w:ascii="Arial" w:hAnsi="Arial" w:cs="Arial"/>
        </w:rPr>
      </w:pPr>
    </w:p>
    <w:p w14:paraId="58F1B009" w14:textId="3890DD2C" w:rsidR="00656278" w:rsidRPr="00613502" w:rsidRDefault="00656278" w:rsidP="00656278">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3F3B1717" w14:textId="77777777" w:rsidR="00656278" w:rsidRDefault="00656278" w:rsidP="003F7CE9">
      <w:pPr>
        <w:jc w:val="left"/>
        <w:rPr>
          <w:rFonts w:ascii="Arial" w:hAnsi="Arial" w:cs="Arial"/>
        </w:rPr>
      </w:pPr>
    </w:p>
    <w:p w14:paraId="5666DA82" w14:textId="24D83CD2" w:rsidR="00660BFC" w:rsidRDefault="00656278" w:rsidP="003F7CE9">
      <w:pPr>
        <w:jc w:val="left"/>
        <w:rPr>
          <w:rFonts w:ascii="Arial" w:hAnsi="Arial" w:cs="Arial" w:hint="eastAsia"/>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towards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hint="eastAsia"/>
        </w:rPr>
      </w:pPr>
      <m:oMathPara>
        <m:oMath>
          <m:r>
            <m:rPr>
              <m:sty m:val="p"/>
            </m:rPr>
            <w:rPr>
              <w:rFonts w:ascii="Cambria Math" w:hAnsi="Cambria Math" w:cs="Arial"/>
            </w:rPr>
            <m:t>v=</m:t>
          </m:r>
          <m:r>
            <m:rPr>
              <m:sty m:val="p"/>
            </m:rPr>
            <w:rPr>
              <w:rFonts w:ascii="Cambria Math" w:hAnsi="Cambria Math" w:cs="Arial"/>
            </w:rPr>
            <m:t>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0315C056" w14:textId="24699E65" w:rsidR="00660BFC" w:rsidRPr="00660BFC" w:rsidRDefault="00660BFC" w:rsidP="003F7CE9">
      <w:pPr>
        <w:pStyle w:val="a6"/>
        <w:numPr>
          <w:ilvl w:val="2"/>
          <w:numId w:val="4"/>
        </w:numPr>
        <w:ind w:firstLineChars="0"/>
        <w:jc w:val="left"/>
        <w:rPr>
          <w:rFonts w:ascii="Arial" w:hAnsi="Arial" w:cs="Arial" w:hint="eastAsia"/>
        </w:rPr>
      </w:pPr>
      <w:r w:rsidRPr="00613502">
        <w:rPr>
          <w:rFonts w:ascii="Arial" w:hAnsi="Arial" w:cs="Arial"/>
        </w:rPr>
        <w:t xml:space="preserve">Consider </w:t>
      </w:r>
      <w:r>
        <w:rPr>
          <w:rFonts w:ascii="Arial" w:hAnsi="Arial" w:cs="Arial"/>
        </w:rPr>
        <w:t>formaldehyde degradation</w:t>
      </w:r>
    </w:p>
    <w:p w14:paraId="623ADADC" w14:textId="77777777" w:rsidR="00660BFC" w:rsidRPr="00660BFC" w:rsidRDefault="00660BFC" w:rsidP="003F7CE9">
      <w:pPr>
        <w:jc w:val="left"/>
        <w:rPr>
          <w:rFonts w:ascii="Arial" w:hAnsi="Arial" w:cs="Arial" w:hint="eastAsia"/>
        </w:rPr>
      </w:pPr>
    </w:p>
    <w:p w14:paraId="1A244A2D" w14:textId="59ACF8A7" w:rsidR="003F7CE9" w:rsidRPr="00F811E5" w:rsidRDefault="003F7CE9" w:rsidP="00F811E5">
      <w:pPr>
        <w:pStyle w:val="a6"/>
        <w:numPr>
          <w:ilvl w:val="0"/>
          <w:numId w:val="4"/>
        </w:numPr>
        <w:ind w:firstLineChars="0"/>
        <w:jc w:val="left"/>
        <w:rPr>
          <w:rFonts w:ascii="Arial" w:hAnsi="Arial" w:cs="Arial"/>
        </w:rPr>
      </w:pPr>
      <w:r w:rsidRPr="00F811E5">
        <w:rPr>
          <w:rFonts w:ascii="Arial" w:hAnsi="Arial" w:cs="Arial"/>
        </w:rPr>
        <w:t>Discussion</w:t>
      </w:r>
    </w:p>
    <w:p w14:paraId="2459BBFD" w14:textId="77777777" w:rsidR="006F3A7B" w:rsidRPr="006F3A7B" w:rsidRDefault="006F3A7B" w:rsidP="006F3A7B">
      <w:pPr>
        <w:jc w:val="left"/>
        <w:rPr>
          <w:rFonts w:ascii="Arial" w:hAnsi="Arial" w:cs="Arial"/>
        </w:rPr>
      </w:pP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hint="eastAsia"/>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77777777"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 We are glad that our work provided some meaningful results and understanding of the system function eventually.</w:t>
      </w:r>
    </w:p>
    <w:p w14:paraId="686C3AE4" w14:textId="77777777" w:rsidR="00F03321" w:rsidRPr="00404ABE"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33D6EB02" w14:textId="631B3C69" w:rsidR="00F7706A" w:rsidRPr="00F7706A" w:rsidRDefault="000D6BAB" w:rsidP="00F7706A">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F7706A" w:rsidRPr="00F7706A">
        <w:t xml:space="preserve">Christensen, M. L., &amp; Eriksen, N. T. (2002). Growth and proton exchange in recombinant Escherichia coli BL21. </w:t>
      </w:r>
      <w:r w:rsidR="00F7706A" w:rsidRPr="00F7706A">
        <w:rPr>
          <w:i/>
        </w:rPr>
        <w:t>Enzyme and Microbial Technology</w:t>
      </w:r>
      <w:r w:rsidR="00F7706A" w:rsidRPr="00F7706A">
        <w:t>,</w:t>
      </w:r>
      <w:r w:rsidR="00F7706A" w:rsidRPr="00F7706A">
        <w:rPr>
          <w:i/>
        </w:rPr>
        <w:t xml:space="preserve"> 31</w:t>
      </w:r>
      <w:r w:rsidR="00F7706A" w:rsidRPr="00F7706A">
        <w:t xml:space="preserve">(4), 566-574. </w:t>
      </w:r>
      <w:hyperlink r:id="rId21" w:history="1">
        <w:r w:rsidR="00F7706A" w:rsidRPr="00F7706A">
          <w:rPr>
            <w:rStyle w:val="ac"/>
          </w:rPr>
          <w:t>https://doi.org/https://doi.org/10.1016/S0141-0229(02)00153-9</w:t>
        </w:r>
      </w:hyperlink>
      <w:r w:rsidR="00F7706A" w:rsidRPr="00F7706A">
        <w:t xml:space="preserve"> </w:t>
      </w:r>
    </w:p>
    <w:p w14:paraId="45357EA1" w14:textId="77777777" w:rsidR="00F7706A" w:rsidRPr="00F7706A" w:rsidRDefault="00F7706A" w:rsidP="00F7706A">
      <w:pPr>
        <w:pStyle w:val="EndNoteBibliography"/>
        <w:ind w:left="720" w:hanging="720"/>
      </w:pPr>
      <w:r w:rsidRPr="00F7706A">
        <w:t xml:space="preserve">Cussler, E. L. (1984). Diffusion: Mass Transfer in Fluid Systems. </w:t>
      </w:r>
    </w:p>
    <w:p w14:paraId="2488B365" w14:textId="112B0253" w:rsidR="00F7706A" w:rsidRPr="00F7706A" w:rsidRDefault="00F7706A" w:rsidP="00F7706A">
      <w:pPr>
        <w:pStyle w:val="EndNoteBibliography"/>
        <w:ind w:left="720" w:hanging="720"/>
      </w:pPr>
      <w:r w:rsidRPr="00F7706A">
        <w:t>Dukovski, I., Baji</w:t>
      </w:r>
      <w:r w:rsidRPr="00F7706A">
        <w:rPr>
          <w:rFonts w:ascii="Cambria" w:hAnsi="Cambria" w:cs="Cambria"/>
        </w:rPr>
        <w:t>ć</w:t>
      </w:r>
      <w:r w:rsidRPr="00F7706A">
        <w:t>, D., Chac</w:t>
      </w:r>
      <w:r w:rsidRPr="00F7706A">
        <w:rPr>
          <w:rFonts w:cs="等线" w:hint="eastAsia"/>
        </w:rPr>
        <w:t>ó</w:t>
      </w:r>
      <w:r w:rsidRPr="00F7706A">
        <w:t xml:space="preserve">n, J. M., Quintin, M., Vila, J. C. C., Sulheim, S., Pacheco, A. R., Bernstein, D. B., Riehl, W. J., Korolev, K. S., Sanchez, A., Harcombe, W. R., &amp; Segrè, D. (2021). A metabolic modeling platform for the computation of microbial ecosystems in time and space (COMETS). </w:t>
      </w:r>
      <w:r w:rsidRPr="00F7706A">
        <w:rPr>
          <w:i/>
        </w:rPr>
        <w:t>Nature Protocols</w:t>
      </w:r>
      <w:r w:rsidRPr="00F7706A">
        <w:t>,</w:t>
      </w:r>
      <w:r w:rsidRPr="00F7706A">
        <w:rPr>
          <w:i/>
        </w:rPr>
        <w:t xml:space="preserve"> 16</w:t>
      </w:r>
      <w:r w:rsidRPr="00F7706A">
        <w:t xml:space="preserve">(11), 5030-5082. </w:t>
      </w:r>
      <w:hyperlink r:id="rId22" w:history="1">
        <w:r w:rsidRPr="00F7706A">
          <w:rPr>
            <w:rStyle w:val="ac"/>
          </w:rPr>
          <w:t>https://doi.org/10.1038/s41596-021-00593-3</w:t>
        </w:r>
      </w:hyperlink>
      <w:r w:rsidRPr="00F7706A">
        <w:t xml:space="preserve"> </w:t>
      </w:r>
    </w:p>
    <w:p w14:paraId="09487869" w14:textId="0C1E3F1B" w:rsidR="00F7706A" w:rsidRPr="00F7706A" w:rsidRDefault="00F7706A" w:rsidP="00F7706A">
      <w:pPr>
        <w:pStyle w:val="EndNoteBibliography"/>
        <w:ind w:left="720" w:hanging="720"/>
      </w:pPr>
      <w:r w:rsidRPr="00F7706A">
        <w:t xml:space="preserve">Hays, S. G., Yan, L. L. W., Silver, P. A., &amp; Ducat, D. C. (2017). Synthetic photosynthetic consortia define interactions leading to robustness and photoproduction. </w:t>
      </w:r>
      <w:r w:rsidRPr="00F7706A">
        <w:rPr>
          <w:i/>
        </w:rPr>
        <w:t>Journal of Biological Engineering</w:t>
      </w:r>
      <w:r w:rsidRPr="00F7706A">
        <w:t>,</w:t>
      </w:r>
      <w:r w:rsidRPr="00F7706A">
        <w:rPr>
          <w:i/>
        </w:rPr>
        <w:t xml:space="preserve"> 11</w:t>
      </w:r>
      <w:r w:rsidRPr="00F7706A">
        <w:t xml:space="preserve">(1). </w:t>
      </w:r>
      <w:hyperlink r:id="rId23" w:history="1">
        <w:r w:rsidRPr="00F7706A">
          <w:rPr>
            <w:rStyle w:val="ac"/>
          </w:rPr>
          <w:t>https://doi.org/10.1186/s13036-017-0048-5</w:t>
        </w:r>
      </w:hyperlink>
      <w:r w:rsidRPr="00F7706A">
        <w:t xml:space="preserve"> </w:t>
      </w:r>
    </w:p>
    <w:p w14:paraId="18576E06" w14:textId="66E9BBA9" w:rsidR="00F7706A" w:rsidRPr="00F7706A" w:rsidRDefault="00F7706A" w:rsidP="00F7706A">
      <w:pPr>
        <w:pStyle w:val="EndNoteBibliography"/>
        <w:ind w:left="720" w:hanging="720"/>
      </w:pPr>
      <w:r w:rsidRPr="00F7706A">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F7706A">
        <w:rPr>
          <w:i/>
        </w:rPr>
        <w:t>Nature Protocols</w:t>
      </w:r>
      <w:r w:rsidRPr="00F7706A">
        <w:t>,</w:t>
      </w:r>
      <w:r w:rsidRPr="00F7706A">
        <w:rPr>
          <w:i/>
        </w:rPr>
        <w:t xml:space="preserve"> 14</w:t>
      </w:r>
      <w:r w:rsidRPr="00F7706A">
        <w:t xml:space="preserve">(3), 639-702. </w:t>
      </w:r>
      <w:hyperlink r:id="rId24" w:history="1">
        <w:r w:rsidRPr="00F7706A">
          <w:rPr>
            <w:rStyle w:val="ac"/>
          </w:rPr>
          <w:t>https://doi.org/10.1038/s41596-018-0098-2</w:t>
        </w:r>
      </w:hyperlink>
      <w:r w:rsidRPr="00F7706A">
        <w:t xml:space="preserve"> </w:t>
      </w:r>
    </w:p>
    <w:p w14:paraId="073A9B23" w14:textId="238974F3" w:rsidR="00F7706A" w:rsidRPr="00F7706A" w:rsidRDefault="00F7706A" w:rsidP="00F7706A">
      <w:pPr>
        <w:pStyle w:val="EndNoteBibliography"/>
        <w:ind w:left="720" w:hanging="720"/>
      </w:pPr>
      <w:r w:rsidRPr="00F7706A">
        <w:t xml:space="preserve">McDonald, H. J. (1956). Electrochemistry in Biology and Medicine T. Shedlovsky (Ed.) New York, John Wiley &amp;amp; Sons, Inc., 1955, 369 pp. </w:t>
      </w:r>
      <w:r w:rsidRPr="00F7706A">
        <w:rPr>
          <w:i/>
        </w:rPr>
        <w:t>Clinical Chemistry</w:t>
      </w:r>
      <w:r w:rsidRPr="00F7706A">
        <w:t>,</w:t>
      </w:r>
      <w:r w:rsidRPr="00F7706A">
        <w:rPr>
          <w:i/>
        </w:rPr>
        <w:t xml:space="preserve"> 2</w:t>
      </w:r>
      <w:r w:rsidRPr="00F7706A">
        <w:t xml:space="preserve">(1), 56-56. </w:t>
      </w:r>
      <w:hyperlink r:id="rId25" w:history="1">
        <w:r w:rsidRPr="00F7706A">
          <w:rPr>
            <w:rStyle w:val="ac"/>
          </w:rPr>
          <w:t>https://doi.org/10.1093/clinchem/2.1.56</w:t>
        </w:r>
      </w:hyperlink>
      <w:r w:rsidRPr="00F7706A">
        <w:t xml:space="preserve"> </w:t>
      </w:r>
    </w:p>
    <w:p w14:paraId="09701487" w14:textId="44120DE8" w:rsidR="00F7706A" w:rsidRPr="00F7706A" w:rsidRDefault="00F7706A" w:rsidP="00F7706A">
      <w:pPr>
        <w:pStyle w:val="EndNoteBibliography"/>
        <w:ind w:left="720" w:hanging="720"/>
      </w:pPr>
      <w:r w:rsidRPr="00F7706A">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F7706A">
        <w:rPr>
          <w:i/>
        </w:rPr>
        <w:t>Proceedings of the National Academy of Sciences</w:t>
      </w:r>
      <w:r w:rsidRPr="00F7706A">
        <w:t>,</w:t>
      </w:r>
      <w:r w:rsidRPr="00F7706A">
        <w:rPr>
          <w:i/>
        </w:rPr>
        <w:t xml:space="preserve"> 110</w:t>
      </w:r>
      <w:r w:rsidRPr="00F7706A">
        <w:t xml:space="preserve">(50), 20338-20343. </w:t>
      </w:r>
      <w:hyperlink r:id="rId26" w:history="1">
        <w:r w:rsidRPr="00F7706A">
          <w:rPr>
            <w:rStyle w:val="ac"/>
          </w:rPr>
          <w:t>https://doi.org/10.1073/pnas.1307797110</w:t>
        </w:r>
      </w:hyperlink>
      <w:r w:rsidRPr="00F7706A">
        <w:t xml:space="preserve"> </w:t>
      </w:r>
    </w:p>
    <w:p w14:paraId="2E702FBE" w14:textId="15492870" w:rsidR="00F7706A" w:rsidRPr="00F7706A" w:rsidRDefault="00F7706A" w:rsidP="00F7706A">
      <w:pPr>
        <w:pStyle w:val="EndNoteBibliography"/>
        <w:ind w:left="720" w:hanging="720"/>
      </w:pPr>
      <w:r w:rsidRPr="00F7706A">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F7706A">
        <w:rPr>
          <w:i/>
        </w:rPr>
        <w:t>Nature Biotechnology</w:t>
      </w:r>
      <w:r w:rsidRPr="00F7706A">
        <w:t>,</w:t>
      </w:r>
      <w:r w:rsidRPr="00F7706A">
        <w:rPr>
          <w:i/>
        </w:rPr>
        <w:t xml:space="preserve"> 27</w:t>
      </w:r>
      <w:r w:rsidRPr="00F7706A">
        <w:t xml:space="preserve">(8), 735-741. </w:t>
      </w:r>
      <w:hyperlink r:id="rId27" w:history="1">
        <w:r w:rsidRPr="00F7706A">
          <w:rPr>
            <w:rStyle w:val="ac"/>
          </w:rPr>
          <w:t>https://doi.org/10.1038/nbt.1558</w:t>
        </w:r>
      </w:hyperlink>
      <w:r w:rsidRPr="00F7706A">
        <w:t xml:space="preserve"> </w:t>
      </w:r>
    </w:p>
    <w:p w14:paraId="70F75110" w14:textId="77777777" w:rsidR="00F7706A" w:rsidRPr="00F7706A" w:rsidRDefault="00F7706A" w:rsidP="00F7706A">
      <w:pPr>
        <w:pStyle w:val="EndNoteBibliography"/>
        <w:ind w:left="720" w:hanging="720"/>
      </w:pPr>
      <w:r w:rsidRPr="00F7706A">
        <w:t xml:space="preserve">Orth, J., Thiele, I. &amp; Palsson, B. (2010). What is flux balance analysis? </w:t>
      </w:r>
      <w:r w:rsidRPr="00F7706A">
        <w:rPr>
          <w:i/>
        </w:rPr>
        <w:t>Nat Biotechnol</w:t>
      </w:r>
      <w:r w:rsidRPr="00F7706A">
        <w:t>,</w:t>
      </w:r>
      <w:r w:rsidRPr="00F7706A">
        <w:rPr>
          <w:i/>
        </w:rPr>
        <w:t xml:space="preserve"> 28</w:t>
      </w:r>
      <w:r w:rsidRPr="00F7706A">
        <w:t xml:space="preserve">, 245–248. </w:t>
      </w:r>
    </w:p>
    <w:p w14:paraId="20314DBB" w14:textId="137BF26F" w:rsidR="00F7706A" w:rsidRPr="00F7706A" w:rsidRDefault="00F7706A" w:rsidP="00F7706A">
      <w:pPr>
        <w:pStyle w:val="EndNoteBibliography"/>
        <w:ind w:left="720" w:hanging="720"/>
      </w:pPr>
      <w:r w:rsidRPr="00F7706A">
        <w:t xml:space="preserve">Pu, H. T., &amp; Yang, R. Y. (1988). Diffusion of sucrose and yohimbine in calcium alginate gel beads with or without entrapped plant cells. </w:t>
      </w:r>
      <w:r w:rsidRPr="00F7706A">
        <w:rPr>
          <w:i/>
        </w:rPr>
        <w:t>Biotechnol Bioeng</w:t>
      </w:r>
      <w:r w:rsidRPr="00F7706A">
        <w:t>,</w:t>
      </w:r>
      <w:r w:rsidRPr="00F7706A">
        <w:rPr>
          <w:i/>
        </w:rPr>
        <w:t xml:space="preserve"> 32</w:t>
      </w:r>
      <w:r w:rsidRPr="00F7706A">
        <w:t xml:space="preserve">(7), 891-896. </w:t>
      </w:r>
      <w:hyperlink r:id="rId28" w:history="1">
        <w:r w:rsidRPr="00F7706A">
          <w:rPr>
            <w:rStyle w:val="ac"/>
          </w:rPr>
          <w:t>https://doi.org/10.1002/bit.260320707</w:t>
        </w:r>
      </w:hyperlink>
      <w:r w:rsidRPr="00F7706A">
        <w:t xml:space="preserve"> </w:t>
      </w:r>
    </w:p>
    <w:p w14:paraId="4F754B82" w14:textId="6FF9D36E" w:rsidR="00F7706A" w:rsidRPr="00F7706A" w:rsidRDefault="00F7706A" w:rsidP="00F7706A">
      <w:pPr>
        <w:pStyle w:val="EndNoteBibliography"/>
        <w:ind w:left="720" w:hanging="720"/>
      </w:pPr>
      <w:r w:rsidRPr="00F7706A">
        <w:t xml:space="preserve">Tekkaya, A. E., &amp; Soyarslan, C. (2014). Finite Element Method. In (pp. 508-514). Springer Berlin Heidelberg. </w:t>
      </w:r>
      <w:hyperlink r:id="rId29" w:history="1">
        <w:r w:rsidRPr="00F7706A">
          <w:rPr>
            <w:rStyle w:val="ac"/>
          </w:rPr>
          <w:t>https://doi.org/10.1007/978-3-642-20617-7_16699</w:t>
        </w:r>
      </w:hyperlink>
      <w:r w:rsidRPr="00F7706A">
        <w:t xml:space="preserve"> </w:t>
      </w:r>
    </w:p>
    <w:p w14:paraId="71AC301E" w14:textId="29C3460F" w:rsidR="00F7706A" w:rsidRPr="00F7706A" w:rsidRDefault="00F7706A" w:rsidP="00F7706A">
      <w:pPr>
        <w:pStyle w:val="EndNoteBibliography"/>
        <w:ind w:left="720" w:hanging="720"/>
      </w:pPr>
      <w:r w:rsidRPr="00F7706A">
        <w:t xml:space="preserve">Woolston, B. M., Roth, T., Kohale, I., Liu, D. R., &amp; Stephanopoulos, G. (2018). Development of a formaldehyde biosensor with application to synthetic methylotrophy. </w:t>
      </w:r>
      <w:r w:rsidRPr="00F7706A">
        <w:rPr>
          <w:i/>
        </w:rPr>
        <w:t>Biotechnol Bioeng</w:t>
      </w:r>
      <w:r w:rsidRPr="00F7706A">
        <w:t>,</w:t>
      </w:r>
      <w:r w:rsidRPr="00F7706A">
        <w:rPr>
          <w:i/>
        </w:rPr>
        <w:t xml:space="preserve"> 115</w:t>
      </w:r>
      <w:r w:rsidRPr="00F7706A">
        <w:t xml:space="preserve">(1), 206-215. </w:t>
      </w:r>
      <w:hyperlink r:id="rId30" w:history="1">
        <w:r w:rsidRPr="00F7706A">
          <w:rPr>
            <w:rStyle w:val="ac"/>
          </w:rPr>
          <w:t>https://doi.org/10.1002/bit.26455</w:t>
        </w:r>
      </w:hyperlink>
      <w:r w:rsidRPr="00F7706A">
        <w:t xml:space="preserve"> </w:t>
      </w:r>
    </w:p>
    <w:p w14:paraId="5F32B608" w14:textId="350DE8E4"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C055C" w14:textId="77777777" w:rsidR="0014236D" w:rsidRDefault="0014236D" w:rsidP="00FF0FBD">
      <w:r>
        <w:separator/>
      </w:r>
    </w:p>
  </w:endnote>
  <w:endnote w:type="continuationSeparator" w:id="0">
    <w:p w14:paraId="4DB51F0D" w14:textId="77777777" w:rsidR="0014236D" w:rsidRDefault="0014236D"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390CF" w14:textId="77777777" w:rsidR="0014236D" w:rsidRDefault="0014236D" w:rsidP="00FF0FBD">
      <w:r>
        <w:separator/>
      </w:r>
    </w:p>
  </w:footnote>
  <w:footnote w:type="continuationSeparator" w:id="0">
    <w:p w14:paraId="515D2F6D" w14:textId="77777777" w:rsidR="0014236D" w:rsidRDefault="0014236D"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record-ids&gt;&lt;/item&gt;&lt;/Libraries&gt;"/>
  </w:docVars>
  <w:rsids>
    <w:rsidRoot w:val="00D87EB1"/>
    <w:rsid w:val="0005567F"/>
    <w:rsid w:val="00056B4C"/>
    <w:rsid w:val="00064861"/>
    <w:rsid w:val="00076CDA"/>
    <w:rsid w:val="0008303F"/>
    <w:rsid w:val="000D1D96"/>
    <w:rsid w:val="000D6BAB"/>
    <w:rsid w:val="000E1A9A"/>
    <w:rsid w:val="000E74FB"/>
    <w:rsid w:val="0011568C"/>
    <w:rsid w:val="00115F75"/>
    <w:rsid w:val="0014236D"/>
    <w:rsid w:val="001502D4"/>
    <w:rsid w:val="00155F89"/>
    <w:rsid w:val="00182D8B"/>
    <w:rsid w:val="001863AF"/>
    <w:rsid w:val="001A11F4"/>
    <w:rsid w:val="001A77B2"/>
    <w:rsid w:val="001B32FC"/>
    <w:rsid w:val="001B45FA"/>
    <w:rsid w:val="001B5B46"/>
    <w:rsid w:val="001C77C3"/>
    <w:rsid w:val="001E338C"/>
    <w:rsid w:val="001F6220"/>
    <w:rsid w:val="0020634C"/>
    <w:rsid w:val="00207E66"/>
    <w:rsid w:val="00217986"/>
    <w:rsid w:val="002213BE"/>
    <w:rsid w:val="00221BD6"/>
    <w:rsid w:val="00231A3E"/>
    <w:rsid w:val="002431EA"/>
    <w:rsid w:val="002655FC"/>
    <w:rsid w:val="00270925"/>
    <w:rsid w:val="00276FD5"/>
    <w:rsid w:val="002E10E4"/>
    <w:rsid w:val="002E58A6"/>
    <w:rsid w:val="002F77E4"/>
    <w:rsid w:val="002F793D"/>
    <w:rsid w:val="00306A58"/>
    <w:rsid w:val="00311525"/>
    <w:rsid w:val="0031421E"/>
    <w:rsid w:val="003572C4"/>
    <w:rsid w:val="0037455A"/>
    <w:rsid w:val="003844DA"/>
    <w:rsid w:val="00395C71"/>
    <w:rsid w:val="003B63D5"/>
    <w:rsid w:val="003C525D"/>
    <w:rsid w:val="003E3EC5"/>
    <w:rsid w:val="003F7CE9"/>
    <w:rsid w:val="00404ABE"/>
    <w:rsid w:val="0041225B"/>
    <w:rsid w:val="00413648"/>
    <w:rsid w:val="00425BDF"/>
    <w:rsid w:val="00437B81"/>
    <w:rsid w:val="00462616"/>
    <w:rsid w:val="00485DFB"/>
    <w:rsid w:val="00486A21"/>
    <w:rsid w:val="004A36E6"/>
    <w:rsid w:val="004A5876"/>
    <w:rsid w:val="004D1112"/>
    <w:rsid w:val="0050337D"/>
    <w:rsid w:val="0050365C"/>
    <w:rsid w:val="0053750C"/>
    <w:rsid w:val="0055554D"/>
    <w:rsid w:val="0057110D"/>
    <w:rsid w:val="00590810"/>
    <w:rsid w:val="005A4221"/>
    <w:rsid w:val="005A48CD"/>
    <w:rsid w:val="005A63BE"/>
    <w:rsid w:val="005B0E3C"/>
    <w:rsid w:val="005B52CD"/>
    <w:rsid w:val="005C451A"/>
    <w:rsid w:val="005D16FE"/>
    <w:rsid w:val="005E3E27"/>
    <w:rsid w:val="005F0BA0"/>
    <w:rsid w:val="005F7ABC"/>
    <w:rsid w:val="00613502"/>
    <w:rsid w:val="00622DF2"/>
    <w:rsid w:val="006340B6"/>
    <w:rsid w:val="0065616D"/>
    <w:rsid w:val="00656278"/>
    <w:rsid w:val="0066097B"/>
    <w:rsid w:val="00660BFC"/>
    <w:rsid w:val="00695184"/>
    <w:rsid w:val="00697F29"/>
    <w:rsid w:val="006A56F5"/>
    <w:rsid w:val="006B491D"/>
    <w:rsid w:val="006C4ED2"/>
    <w:rsid w:val="006D5DB7"/>
    <w:rsid w:val="006F3A7B"/>
    <w:rsid w:val="007148B7"/>
    <w:rsid w:val="00714F7B"/>
    <w:rsid w:val="00735A4F"/>
    <w:rsid w:val="007367C6"/>
    <w:rsid w:val="00740FA1"/>
    <w:rsid w:val="00770CF1"/>
    <w:rsid w:val="007818E4"/>
    <w:rsid w:val="007838E0"/>
    <w:rsid w:val="007974E0"/>
    <w:rsid w:val="007B168F"/>
    <w:rsid w:val="007C49DC"/>
    <w:rsid w:val="007D482D"/>
    <w:rsid w:val="007D6E37"/>
    <w:rsid w:val="007E3132"/>
    <w:rsid w:val="00803285"/>
    <w:rsid w:val="00814918"/>
    <w:rsid w:val="00822174"/>
    <w:rsid w:val="00834312"/>
    <w:rsid w:val="00841FAA"/>
    <w:rsid w:val="0085086E"/>
    <w:rsid w:val="00855388"/>
    <w:rsid w:val="0087100B"/>
    <w:rsid w:val="00895456"/>
    <w:rsid w:val="008A053C"/>
    <w:rsid w:val="00907894"/>
    <w:rsid w:val="009240FC"/>
    <w:rsid w:val="0093366B"/>
    <w:rsid w:val="009372F0"/>
    <w:rsid w:val="00947DC7"/>
    <w:rsid w:val="00952997"/>
    <w:rsid w:val="0095713A"/>
    <w:rsid w:val="009606EE"/>
    <w:rsid w:val="00986F50"/>
    <w:rsid w:val="0099495A"/>
    <w:rsid w:val="009C62AF"/>
    <w:rsid w:val="00A139B8"/>
    <w:rsid w:val="00A141D5"/>
    <w:rsid w:val="00A2214E"/>
    <w:rsid w:val="00A31768"/>
    <w:rsid w:val="00A81491"/>
    <w:rsid w:val="00AA149C"/>
    <w:rsid w:val="00AC71D4"/>
    <w:rsid w:val="00AD4B9A"/>
    <w:rsid w:val="00AE018F"/>
    <w:rsid w:val="00B16020"/>
    <w:rsid w:val="00B23261"/>
    <w:rsid w:val="00B41969"/>
    <w:rsid w:val="00B42938"/>
    <w:rsid w:val="00B44FD0"/>
    <w:rsid w:val="00B46391"/>
    <w:rsid w:val="00B55A51"/>
    <w:rsid w:val="00B73D4C"/>
    <w:rsid w:val="00B74671"/>
    <w:rsid w:val="00B828F9"/>
    <w:rsid w:val="00BC2038"/>
    <w:rsid w:val="00C130E2"/>
    <w:rsid w:val="00C55545"/>
    <w:rsid w:val="00C64660"/>
    <w:rsid w:val="00C931A2"/>
    <w:rsid w:val="00C93F81"/>
    <w:rsid w:val="00CC26DF"/>
    <w:rsid w:val="00CD742C"/>
    <w:rsid w:val="00D15F2B"/>
    <w:rsid w:val="00D32D5F"/>
    <w:rsid w:val="00D521DA"/>
    <w:rsid w:val="00D55375"/>
    <w:rsid w:val="00D67308"/>
    <w:rsid w:val="00D674BE"/>
    <w:rsid w:val="00D8230E"/>
    <w:rsid w:val="00D87EB1"/>
    <w:rsid w:val="00DA41FC"/>
    <w:rsid w:val="00DB56CD"/>
    <w:rsid w:val="00DC243C"/>
    <w:rsid w:val="00DD0995"/>
    <w:rsid w:val="00DD7A1C"/>
    <w:rsid w:val="00DE03E5"/>
    <w:rsid w:val="00DE0826"/>
    <w:rsid w:val="00E021A1"/>
    <w:rsid w:val="00E115E2"/>
    <w:rsid w:val="00E53396"/>
    <w:rsid w:val="00E84641"/>
    <w:rsid w:val="00E86BDB"/>
    <w:rsid w:val="00E871AD"/>
    <w:rsid w:val="00E95409"/>
    <w:rsid w:val="00E964D1"/>
    <w:rsid w:val="00EB5149"/>
    <w:rsid w:val="00EB613B"/>
    <w:rsid w:val="00EC6540"/>
    <w:rsid w:val="00EC7A2E"/>
    <w:rsid w:val="00EF060E"/>
    <w:rsid w:val="00F03321"/>
    <w:rsid w:val="00F04F18"/>
    <w:rsid w:val="00F46025"/>
    <w:rsid w:val="00F679B8"/>
    <w:rsid w:val="00F71140"/>
    <w:rsid w:val="00F75A24"/>
    <w:rsid w:val="00F76325"/>
    <w:rsid w:val="00F7706A"/>
    <w:rsid w:val="00F811E5"/>
    <w:rsid w:val="00F82FD9"/>
    <w:rsid w:val="00F95EAA"/>
    <w:rsid w:val="00FA1A77"/>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05CFB5"/>
  <w15:docId w15:val="{1F5B496E-57F6-4834-93C0-2B6F60592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doi.org/10.1073/pnas.1307797110" TargetMode="External"/><Relationship Id="rId3" Type="http://schemas.openxmlformats.org/officeDocument/2006/relationships/styles" Target="styles.xml"/><Relationship Id="rId21" Type="http://schemas.openxmlformats.org/officeDocument/2006/relationships/hyperlink" Target="https://doi.org/https://doi.org/10.1016/S0141-0229(02)00153-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doi.org/10.1093/clinchem/2.1.5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yperlink" Target="https://doi.org/10.1007/978-3-642-20617-7_166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38/s41596-018-0098-2"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86/s13036-017-0048-5" TargetMode="External"/><Relationship Id="rId28" Type="http://schemas.openxmlformats.org/officeDocument/2006/relationships/hyperlink" Target="https://doi.org/10.1002/bit.260320707"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38/s41596-021-00593-3" TargetMode="External"/><Relationship Id="rId27" Type="http://schemas.openxmlformats.org/officeDocument/2006/relationships/hyperlink" Target="https://doi.org/10.1038/nbt.1558" TargetMode="External"/><Relationship Id="rId30" Type="http://schemas.openxmlformats.org/officeDocument/2006/relationships/hyperlink" Target="https://doi.org/10.1002/bit.264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3600</TotalTime>
  <Pages>13</Pages>
  <Words>4350</Words>
  <Characters>24099</Characters>
  <Application>Microsoft Office Word</Application>
  <DocSecurity>0</DocSecurity>
  <Lines>688</Lines>
  <Paragraphs>369</Paragraphs>
  <ScaleCrop>false</ScaleCrop>
  <Company/>
  <LinksUpToDate>false</LinksUpToDate>
  <CharactersWithSpaces>28080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2</cp:revision>
  <cp:lastPrinted>2023-10-09T12:15:00Z</cp:lastPrinted>
  <dcterms:created xsi:type="dcterms:W3CDTF">2023-10-06T07:29:00Z</dcterms:created>
  <dcterms:modified xsi:type="dcterms:W3CDTF">2023-10-10T07:55:00Z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